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8"/>
      </w:tblGrid>
      <w:tr w:rsidR="00CA6653">
        <w:tc>
          <w:tcPr>
            <w:tcW w:w="9608" w:type="dxa"/>
          </w:tcPr>
          <w:p w:rsidR="00CA6653" w:rsidRDefault="00CA6653">
            <w:pPr>
              <w:pStyle w:val="Anexos1"/>
              <w:keepLines/>
              <w:widowControl/>
              <w:suppressAutoHyphens/>
              <w:spacing w:line="240" w:lineRule="auto"/>
              <w:outlineLvl w:val="0"/>
            </w:pPr>
            <w:bookmarkStart w:id="0" w:name="_GoBack"/>
            <w:bookmarkEnd w:id="0"/>
            <w:r>
              <w:t>ANEXO 4</w:t>
            </w:r>
          </w:p>
        </w:tc>
      </w:tr>
      <w:tr w:rsidR="00CA6653">
        <w:tc>
          <w:tcPr>
            <w:tcW w:w="9608" w:type="dxa"/>
          </w:tcPr>
          <w:p w:rsidR="00CA6653" w:rsidRDefault="00CA6653">
            <w:pPr>
              <w:pStyle w:val="Anexos1"/>
              <w:keepLines/>
              <w:widowControl/>
              <w:suppressAutoHyphens/>
              <w:spacing w:line="240" w:lineRule="auto"/>
            </w:pPr>
            <w:r>
              <w:t>PLANEJAMENTO TÉCNICO INTEGRADO</w:t>
            </w:r>
          </w:p>
        </w:tc>
      </w:tr>
    </w:tbl>
    <w:p w:rsidR="00CA6653" w:rsidRDefault="00CA6653">
      <w:pPr>
        <w:pStyle w:val="Anexos"/>
        <w:suppressAutoHyphens/>
      </w:pPr>
      <w:r>
        <w:t xml:space="preserve"> </w:t>
      </w:r>
    </w:p>
    <w:p w:rsidR="00CA6653" w:rsidRDefault="00CA6653">
      <w:pPr>
        <w:pStyle w:val="Ttulo1"/>
        <w:numPr>
          <w:ilvl w:val="0"/>
          <w:numId w:val="1"/>
        </w:numPr>
      </w:pPr>
      <w:r>
        <w:t>DISPOSIÇÕES GERAIS</w:t>
      </w:r>
    </w:p>
    <w:p w:rsidR="00CA6653" w:rsidRDefault="00CA6653">
      <w:pPr>
        <w:pStyle w:val="Ttulo2"/>
        <w:numPr>
          <w:ilvl w:val="1"/>
          <w:numId w:val="1"/>
        </w:numPr>
      </w:pPr>
      <w:r>
        <w:t>As interconexões previstas no presente ANEXO serão objeto de planejamento contínuo e integrado entre as PARTES, com o objetivo de atingir e manter níveis adequados de serviço, otimizar o encaminhamento do tráfego e minimizar os custos envolvidos na Interconexão.</w:t>
      </w:r>
    </w:p>
    <w:p w:rsidR="00CA6653" w:rsidRDefault="00CA6653">
      <w:pPr>
        <w:pStyle w:val="Ttulo2"/>
        <w:numPr>
          <w:ilvl w:val="1"/>
          <w:numId w:val="1"/>
        </w:numPr>
      </w:pPr>
      <w:r>
        <w:t>As PARTES realizarão um Planejamento Técnico Integrado, no sentido de atender as exigências de Interconexão, conforme Apêndice(s) – Projeto de Interconexão, do presente ANEXO 4.</w:t>
      </w:r>
    </w:p>
    <w:p w:rsidR="00CA6653" w:rsidRDefault="00CA6653">
      <w:pPr>
        <w:pStyle w:val="Ttulo2"/>
        <w:numPr>
          <w:ilvl w:val="1"/>
          <w:numId w:val="1"/>
        </w:numPr>
      </w:pPr>
      <w:r>
        <w:t xml:space="preserve">As PARTES realizarão reuniões de Planejamento Técnico Integrado, conforme periodicidade estabelecida no item 2 deste ANEXO, para harmonizar e tornar compatíveis as necessidades comuns das PARTES, e estabelecer objetivos comuns de Interconexão. </w:t>
      </w:r>
    </w:p>
    <w:p w:rsidR="00CA6653" w:rsidRDefault="00CA6653">
      <w:pPr>
        <w:pStyle w:val="Ttulo2"/>
        <w:numPr>
          <w:ilvl w:val="1"/>
          <w:numId w:val="1"/>
        </w:numPr>
      </w:pPr>
      <w:r>
        <w:t>As PARTES estabelecerão, de comum acordo, as projeções de tráfego e necessidades de enlaces de Interconexão. Estas projeções serão confidenciais e usadas estritamente com o objetivo de planejamento das interconexões.</w:t>
      </w:r>
    </w:p>
    <w:p w:rsidR="00CA6653" w:rsidRDefault="00CA6653">
      <w:pPr>
        <w:pStyle w:val="Ttulo2"/>
        <w:numPr>
          <w:ilvl w:val="1"/>
          <w:numId w:val="1"/>
        </w:numPr>
      </w:pPr>
      <w:r>
        <w:t>As PARTES se obrigam a tornar disponíveis as facilidades de Interconexão acordadas nas reuniões de Planejamento Técnico Integrado, conforme o disposto no(s) Apêndice(s) – Projeto de Interconexão, do presente ANEXO.</w:t>
      </w:r>
    </w:p>
    <w:p w:rsidR="00CA6653" w:rsidRDefault="00CA6653">
      <w:pPr>
        <w:pStyle w:val="Ttulo2"/>
        <w:numPr>
          <w:ilvl w:val="1"/>
          <w:numId w:val="1"/>
        </w:numPr>
      </w:pPr>
      <w:r>
        <w:t>No caso de uma das PARTES verificar que o Ponto de Interconexão pertencente à mesma para o qual foi feita uma previsão não possui capacidade de suportar o aumento da demanda de tráfego dentro do período previsto, a referida PARTE deverá notificar de pronto a outra PARTE e providenciar imediatamente uma alternativa aceitável para o atendimento da referida demanda, sem custos adicionais para a outra PARTE.</w:t>
      </w:r>
    </w:p>
    <w:p w:rsidR="00CA6653" w:rsidRDefault="00CA6653">
      <w:pPr>
        <w:pStyle w:val="Ttulo2"/>
        <w:numPr>
          <w:ilvl w:val="1"/>
          <w:numId w:val="1"/>
        </w:numPr>
      </w:pPr>
      <w:r>
        <w:t>Na ocorrência da hipótese acima, as PARTES deverão, de qualquer forma, manter os prazos de atendimento da demanda de tráfego dentro dos períodos acordados pelas mesmas.</w:t>
      </w:r>
    </w:p>
    <w:p w:rsidR="00CA6653" w:rsidRDefault="00CA6653">
      <w:pPr>
        <w:pStyle w:val="Ttulo2"/>
        <w:numPr>
          <w:ilvl w:val="1"/>
          <w:numId w:val="1"/>
        </w:numPr>
      </w:pPr>
      <w:r>
        <w:t>As PARTES estão obrigadas a tratar como confidenciais todas as informações relativas ao Planejamento Técnico Integrado, contidas  no presente ANEXO 4 e seu(s) Apêndice(s), na forma determinada na CLÁUSULA DÉCIMA SEGUNDA – DA CONFIDENCIALIDADE, deste CONTRATO, a menos que seja expressamente acordado de outra forma pelas PARTES.</w:t>
      </w:r>
    </w:p>
    <w:p w:rsidR="00CA6653" w:rsidRDefault="00CA6653">
      <w:pPr>
        <w:pStyle w:val="Ttulo2"/>
        <w:numPr>
          <w:ilvl w:val="1"/>
          <w:numId w:val="1"/>
        </w:numPr>
      </w:pPr>
      <w:r>
        <w:t xml:space="preserve">As PARTES acordam que as alterações de interconexão estabelecidas no processo de Planejamento Técnico Integrado deverão ser implementadas até o último dia útil do mês previsto para ativação da facilidade no Projeto de Interconexão, em conformidade com o(s) Apêndice(s) – Projeto de Interconexão deste ANEXO. </w:t>
      </w:r>
    </w:p>
    <w:p w:rsidR="00CA6653" w:rsidRDefault="00CA6653">
      <w:pPr>
        <w:keepLines/>
        <w:suppressAutoHyphens/>
        <w:sectPr w:rsidR="00CA6653" w:rsidSect="0033031E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nextColumn"/>
          <w:pgSz w:w="11907" w:h="16840" w:code="9"/>
          <w:pgMar w:top="777" w:right="851" w:bottom="1247" w:left="1588" w:header="680" w:footer="794" w:gutter="0"/>
          <w:paperSrc w:first="15" w:other="15"/>
          <w:cols w:space="720"/>
        </w:sectPr>
      </w:pPr>
    </w:p>
    <w:p w:rsidR="00CA6653" w:rsidRDefault="00CA6653">
      <w:pPr>
        <w:suppressAutoHyphens/>
      </w:pPr>
    </w:p>
    <w:p w:rsidR="00CA6653" w:rsidRDefault="00CA6653">
      <w:pPr>
        <w:pStyle w:val="Ttulo1"/>
        <w:numPr>
          <w:ilvl w:val="0"/>
          <w:numId w:val="5"/>
        </w:numPr>
      </w:pPr>
      <w:r>
        <w:t>Processo de Planejamento Técnico Integrado</w:t>
      </w:r>
    </w:p>
    <w:p w:rsidR="00CA6653" w:rsidRDefault="00CA6653">
      <w:pPr>
        <w:pStyle w:val="Ttulo2"/>
        <w:numPr>
          <w:ilvl w:val="1"/>
          <w:numId w:val="4"/>
        </w:numPr>
      </w:pPr>
      <w:r>
        <w:t>O processo de Planejamento Técnico Integrado será desenvolvido através de reuniões, pelo menos, anuais, que terão como principais objetivos:</w:t>
      </w:r>
    </w:p>
    <w:p w:rsidR="00CA6653" w:rsidRDefault="00CA6653">
      <w:pPr>
        <w:pStyle w:val="Anexos"/>
        <w:numPr>
          <w:ilvl w:val="0"/>
          <w:numId w:val="3"/>
        </w:numPr>
        <w:tabs>
          <w:tab w:val="clear" w:pos="360"/>
          <w:tab w:val="num" w:pos="1068"/>
        </w:tabs>
        <w:suppressAutoHyphens/>
        <w:spacing w:before="120"/>
        <w:ind w:left="1068"/>
        <w:rPr>
          <w:sz w:val="22"/>
        </w:rPr>
      </w:pPr>
      <w:r>
        <w:rPr>
          <w:sz w:val="22"/>
        </w:rPr>
        <w:t>Elaborar as projeções de tráfego das interconexões para um horizonte de 12 (doze) meses,</w:t>
      </w:r>
    </w:p>
    <w:p w:rsidR="00CA6653" w:rsidRDefault="00CA6653">
      <w:pPr>
        <w:pStyle w:val="Anexos"/>
        <w:numPr>
          <w:ilvl w:val="0"/>
          <w:numId w:val="3"/>
        </w:numPr>
        <w:tabs>
          <w:tab w:val="clear" w:pos="360"/>
          <w:tab w:val="num" w:pos="1068"/>
        </w:tabs>
        <w:suppressAutoHyphens/>
        <w:spacing w:before="120"/>
        <w:ind w:left="1068"/>
        <w:rPr>
          <w:sz w:val="22"/>
        </w:rPr>
      </w:pPr>
      <w:r>
        <w:rPr>
          <w:sz w:val="22"/>
        </w:rPr>
        <w:t>Acordar os compromissos de ampliações/alterações das interconexões para um horizonte de 12 (doze) meses;</w:t>
      </w:r>
    </w:p>
    <w:p w:rsidR="003B3454" w:rsidRPr="003B3454" w:rsidRDefault="003B3454" w:rsidP="003B3454">
      <w:pPr>
        <w:pStyle w:val="Anexos"/>
        <w:numPr>
          <w:ilvl w:val="0"/>
          <w:numId w:val="3"/>
        </w:numPr>
        <w:tabs>
          <w:tab w:val="clear" w:pos="360"/>
          <w:tab w:val="num" w:pos="1068"/>
        </w:tabs>
        <w:suppressAutoHyphens/>
        <w:spacing w:before="120"/>
        <w:ind w:left="1068"/>
        <w:rPr>
          <w:sz w:val="22"/>
        </w:rPr>
      </w:pPr>
      <w:r w:rsidRPr="003B3454">
        <w:rPr>
          <w:sz w:val="22"/>
        </w:rPr>
        <w:t>Definir a forma de interconexão, direta entre os POIs/PPIs das Partes e/ou indireta, utilizando rede de terceiros para entrega do tráfego.</w:t>
      </w:r>
    </w:p>
    <w:p w:rsidR="00CA6653" w:rsidRDefault="00CA6653">
      <w:pPr>
        <w:pStyle w:val="Anexos"/>
        <w:numPr>
          <w:ilvl w:val="0"/>
          <w:numId w:val="3"/>
        </w:numPr>
        <w:tabs>
          <w:tab w:val="clear" w:pos="360"/>
          <w:tab w:val="num" w:pos="1068"/>
        </w:tabs>
        <w:suppressAutoHyphens/>
        <w:spacing w:before="120"/>
        <w:ind w:left="1068"/>
        <w:rPr>
          <w:sz w:val="22"/>
        </w:rPr>
      </w:pPr>
      <w:r>
        <w:rPr>
          <w:sz w:val="22"/>
        </w:rPr>
        <w:t>Definir o encaminhamento de chamadas através das interconexões.</w:t>
      </w:r>
    </w:p>
    <w:p w:rsidR="00CA6653" w:rsidRDefault="00CA6653">
      <w:pPr>
        <w:pStyle w:val="Ttulo2"/>
        <w:numPr>
          <w:ilvl w:val="1"/>
          <w:numId w:val="4"/>
        </w:numPr>
      </w:pPr>
      <w:r>
        <w:t>As PARTES definirão, de comum acordo, na primeira reunião de Planejamento Técnico Integrado, a época e a dinâmica das reuniões, os modelos para projeção de tráfego e dimensionamento das rotas de Interconexão os quais poderão ser revistos em reuniões subsequentes.</w:t>
      </w:r>
    </w:p>
    <w:p w:rsidR="00CA6653" w:rsidRDefault="00CA6653">
      <w:pPr>
        <w:pStyle w:val="Ttulo2"/>
        <w:numPr>
          <w:ilvl w:val="1"/>
          <w:numId w:val="4"/>
        </w:numPr>
      </w:pPr>
      <w:r>
        <w:t>As decisões relativas ao Planejamento Técnico Integrado serão baseadas na melhoria da qualidade dos serviços prestados aos Assinantes e Usuários das PARTES e na melhor solução técnica e econômica para as mesmas.</w:t>
      </w:r>
    </w:p>
    <w:p w:rsidR="00CA6653" w:rsidRDefault="00CA6653">
      <w:pPr>
        <w:pStyle w:val="Ttulo2"/>
        <w:numPr>
          <w:ilvl w:val="1"/>
          <w:numId w:val="4"/>
        </w:numPr>
      </w:pPr>
      <w:bookmarkStart w:id="1" w:name="_Ref489536167"/>
      <w:r>
        <w:t>As PARTES deverão redigir uma Ata, em cada reunião de Planejamento Técnico Integrado, que será assinada por um representante designado por cada PARTE e na qual constarão todos os assunto</w:t>
      </w:r>
      <w:r w:rsidR="0029529B">
        <w:t xml:space="preserve">s tratados na referida reunião </w:t>
      </w:r>
      <w:r>
        <w:t xml:space="preserve">e à qual serão anexados os documentos técnicos pertinentes, em especial a minuta do(s) Apêndice(s) – Projeto de Interconexão deste ANEXO 4, com as alterações acordadas na reunião. </w:t>
      </w:r>
      <w:bookmarkEnd w:id="1"/>
    </w:p>
    <w:p w:rsidR="00CA6653" w:rsidRDefault="00CA6653">
      <w:pPr>
        <w:numPr>
          <w:ilvl w:val="1"/>
          <w:numId w:val="4"/>
        </w:numPr>
        <w:suppressAutoHyphens/>
        <w:spacing w:before="120"/>
      </w:pPr>
      <w:r>
        <w:t>A realização das reuniões de Planejamento Técnico Integrado deverá ser antecedida das seguintes ações</w:t>
      </w:r>
    </w:p>
    <w:p w:rsidR="00CA6653" w:rsidRDefault="00CA6653">
      <w:pPr>
        <w:pStyle w:val="Ttulo2"/>
        <w:numPr>
          <w:ilvl w:val="2"/>
          <w:numId w:val="4"/>
        </w:numPr>
      </w:pPr>
      <w:r>
        <w:t>Convocação de reunião, por iniciativa de qualquer uma das PARTES, com indicação do local e data da mesma, respeitado o exposto no item 2.5.3 abaixo, a ser aprovada pela PARTE convocada;</w:t>
      </w:r>
    </w:p>
    <w:p w:rsidR="00CA6653" w:rsidRDefault="00CA6653">
      <w:pPr>
        <w:pStyle w:val="Ttulo2"/>
        <w:numPr>
          <w:ilvl w:val="2"/>
          <w:numId w:val="4"/>
        </w:numPr>
      </w:pPr>
      <w:r>
        <w:t>Confirmação da data e local da reunião pela PARTE convocada em até 5 (cinco) dias úteis a partir do recebimento da convocação;</w:t>
      </w:r>
    </w:p>
    <w:p w:rsidR="00CA6653" w:rsidRDefault="00CA6653">
      <w:pPr>
        <w:pStyle w:val="Ttulo2"/>
        <w:numPr>
          <w:ilvl w:val="2"/>
          <w:numId w:val="4"/>
        </w:numPr>
      </w:pPr>
      <w:r>
        <w:t xml:space="preserve">Envio das necessidades de Interconexão, conforme item 3.1 deste ANEXO, com 20 (vinte) dias de antecedência à data da reunião. </w:t>
      </w:r>
    </w:p>
    <w:p w:rsidR="00CA6653" w:rsidRDefault="00CA6653"/>
    <w:p w:rsidR="00CA6653" w:rsidRDefault="00CA6653">
      <w:pPr>
        <w:pStyle w:val="Ttulo1"/>
        <w:numPr>
          <w:ilvl w:val="0"/>
          <w:numId w:val="4"/>
        </w:numPr>
      </w:pPr>
      <w:r>
        <w:t>DETALHAMENTO DO PLANEJAMENTO TÉCNICO INTEGRADO</w:t>
      </w:r>
    </w:p>
    <w:p w:rsidR="00CA6653" w:rsidRDefault="00CA6653">
      <w:pPr>
        <w:pStyle w:val="Ttulo2"/>
        <w:numPr>
          <w:ilvl w:val="1"/>
          <w:numId w:val="6"/>
        </w:numPr>
      </w:pPr>
      <w:r>
        <w:t>As PARTES apresentarão, as informações necessárias e suficientes ao planejamento das interconexões, sob condições e na forma do Termo de Confidencialidade, como se segue:</w:t>
      </w:r>
    </w:p>
    <w:p w:rsidR="00CA6653" w:rsidRDefault="00CA6653">
      <w:pPr>
        <w:pStyle w:val="Ttulo3"/>
        <w:numPr>
          <w:ilvl w:val="2"/>
          <w:numId w:val="4"/>
        </w:numPr>
      </w:pPr>
      <w:bookmarkStart w:id="2" w:name="_Ref489535676"/>
      <w:r>
        <w:t>Informações sobre as modificações nos planos estruturais das redes de ambas as PARTES, que afetem a interconexão;</w:t>
      </w:r>
    </w:p>
    <w:p w:rsidR="00CA6653" w:rsidRDefault="00CA6653">
      <w:pPr>
        <w:pStyle w:val="Ttulo3"/>
        <w:numPr>
          <w:ilvl w:val="2"/>
          <w:numId w:val="4"/>
        </w:numPr>
        <w:rPr>
          <w:strike/>
        </w:rPr>
      </w:pPr>
      <w:r>
        <w:t>Informações sobre evoluções tecnológicas que possam afetar a Interconexão;</w:t>
      </w:r>
    </w:p>
    <w:p w:rsidR="00CA6653" w:rsidRDefault="00CA6653">
      <w:pPr>
        <w:pStyle w:val="Ttulo3"/>
        <w:numPr>
          <w:ilvl w:val="2"/>
          <w:numId w:val="4"/>
        </w:numPr>
      </w:pPr>
      <w:r>
        <w:t>Previsões de implantação de novos Pontos de Interconexão e/ou Pontos de Presença de Interconexão;</w:t>
      </w:r>
    </w:p>
    <w:p w:rsidR="00CA6653" w:rsidRDefault="00CA6653">
      <w:pPr>
        <w:pStyle w:val="Ttulo3"/>
        <w:numPr>
          <w:ilvl w:val="2"/>
          <w:numId w:val="4"/>
        </w:numPr>
      </w:pPr>
      <w:r>
        <w:t>Histórico do volume de tráfego nos Pontos de Interconexão existentes, pelo período de existência da Interconexão, limitado aos últimos 12 meses;</w:t>
      </w:r>
      <w:bookmarkEnd w:id="2"/>
    </w:p>
    <w:p w:rsidR="00CA6653" w:rsidRDefault="00CA6653">
      <w:pPr>
        <w:pStyle w:val="Ttulo3"/>
        <w:numPr>
          <w:ilvl w:val="2"/>
          <w:numId w:val="4"/>
        </w:numPr>
      </w:pPr>
      <w:r>
        <w:t>Redistribuição percentual do tráfego originado e destinado às redes das Partes, distribuídos em áreas de abrangência por Ponto de Interconexão, nos casos em que houver alterações nos Pontos de Interconexão ou Pontos de Presença de Interconexão;</w:t>
      </w:r>
    </w:p>
    <w:p w:rsidR="00CA6653" w:rsidRDefault="00CA6653">
      <w:pPr>
        <w:pStyle w:val="Ttulo2"/>
        <w:numPr>
          <w:ilvl w:val="1"/>
          <w:numId w:val="6"/>
        </w:numPr>
      </w:pPr>
      <w:r>
        <w:lastRenderedPageBreak/>
        <w:t>As PARTES deverão acompanhar, ao longo do processo de Planejamento Técnico Integrado, a evolução do tráfego medido e as respectivas necessidades solicitadas de maneira que seja mantido, através de expansões ou reduções de facilidades, mutuamente acordadas, o uso eficiente das rotas e facilidades de Interconexão.</w:t>
      </w:r>
    </w:p>
    <w:p w:rsidR="00CA6653" w:rsidRDefault="00CA6653">
      <w:pPr>
        <w:pStyle w:val="Ttulo2"/>
        <w:numPr>
          <w:ilvl w:val="2"/>
          <w:numId w:val="6"/>
        </w:numPr>
      </w:pPr>
      <w:r>
        <w:t>O critério de uso eficiente de rotas e facilidades de Interconexão deverá ser acordado entre as PARTES por ocasião da primeira reunião de Planejamento Técnico Integrado.</w:t>
      </w:r>
    </w:p>
    <w:p w:rsidR="00CA6653" w:rsidRDefault="00CA6653">
      <w:pPr>
        <w:pStyle w:val="Ttulo2"/>
        <w:numPr>
          <w:ilvl w:val="1"/>
          <w:numId w:val="6"/>
        </w:numPr>
      </w:pPr>
      <w:r>
        <w:t>As PARTES deverão definir nas reuniões de Planejamento Técnico Integrado os seguintes itens:</w:t>
      </w:r>
    </w:p>
    <w:p w:rsidR="00CA6653" w:rsidRDefault="00CA6653">
      <w:pPr>
        <w:pStyle w:val="Anexos"/>
        <w:numPr>
          <w:ilvl w:val="0"/>
          <w:numId w:val="2"/>
        </w:numPr>
        <w:tabs>
          <w:tab w:val="clear" w:pos="360"/>
          <w:tab w:val="left" w:pos="1134"/>
        </w:tabs>
        <w:suppressAutoHyphens/>
        <w:spacing w:before="120"/>
        <w:ind w:left="1134" w:hanging="567"/>
        <w:rPr>
          <w:sz w:val="22"/>
        </w:rPr>
      </w:pPr>
      <w:r>
        <w:t xml:space="preserve"> </w:t>
      </w:r>
      <w:r>
        <w:rPr>
          <w:sz w:val="22"/>
        </w:rPr>
        <w:t>Identificação dos POIs e PPIs.</w:t>
      </w:r>
    </w:p>
    <w:p w:rsidR="00CA6653" w:rsidRDefault="00CA6653">
      <w:pPr>
        <w:pStyle w:val="Anexos"/>
        <w:numPr>
          <w:ilvl w:val="0"/>
          <w:numId w:val="2"/>
        </w:numPr>
        <w:tabs>
          <w:tab w:val="clear" w:pos="360"/>
          <w:tab w:val="left" w:pos="1134"/>
        </w:tabs>
        <w:suppressAutoHyphens/>
        <w:spacing w:before="120"/>
        <w:ind w:left="1134" w:hanging="567"/>
        <w:rPr>
          <w:sz w:val="22"/>
        </w:rPr>
      </w:pPr>
      <w:r>
        <w:rPr>
          <w:sz w:val="22"/>
        </w:rPr>
        <w:t>Diagramas de Entroncamento.</w:t>
      </w:r>
    </w:p>
    <w:p w:rsidR="00CA6653" w:rsidRDefault="00CA6653">
      <w:pPr>
        <w:pStyle w:val="Anexos"/>
        <w:numPr>
          <w:ilvl w:val="0"/>
          <w:numId w:val="2"/>
        </w:numPr>
        <w:tabs>
          <w:tab w:val="clear" w:pos="360"/>
          <w:tab w:val="left" w:pos="1134"/>
        </w:tabs>
        <w:suppressAutoHyphens/>
        <w:spacing w:before="120"/>
        <w:ind w:left="1134" w:hanging="567"/>
        <w:rPr>
          <w:sz w:val="22"/>
        </w:rPr>
      </w:pPr>
      <w:r>
        <w:rPr>
          <w:sz w:val="22"/>
        </w:rPr>
        <w:t>Diagrama de Sinalização SCC#7.</w:t>
      </w:r>
    </w:p>
    <w:p w:rsidR="00CA6653" w:rsidRDefault="00CA6653">
      <w:pPr>
        <w:pStyle w:val="Anexos"/>
        <w:numPr>
          <w:ilvl w:val="0"/>
          <w:numId w:val="2"/>
        </w:numPr>
        <w:tabs>
          <w:tab w:val="clear" w:pos="360"/>
          <w:tab w:val="left" w:pos="1134"/>
        </w:tabs>
        <w:suppressAutoHyphens/>
        <w:spacing w:before="120"/>
        <w:ind w:left="1134" w:hanging="567"/>
        <w:rPr>
          <w:sz w:val="22"/>
        </w:rPr>
      </w:pPr>
      <w:r>
        <w:rPr>
          <w:sz w:val="22"/>
        </w:rPr>
        <w:t>Tráfego Originado e Terminado.</w:t>
      </w:r>
    </w:p>
    <w:p w:rsidR="00CA6653" w:rsidRDefault="00CA6653">
      <w:pPr>
        <w:pStyle w:val="Anexos"/>
        <w:numPr>
          <w:ilvl w:val="0"/>
          <w:numId w:val="2"/>
        </w:numPr>
        <w:tabs>
          <w:tab w:val="clear" w:pos="360"/>
          <w:tab w:val="left" w:pos="1134"/>
        </w:tabs>
        <w:suppressAutoHyphens/>
        <w:spacing w:before="120"/>
        <w:ind w:left="1134" w:hanging="567"/>
        <w:rPr>
          <w:sz w:val="22"/>
        </w:rPr>
      </w:pPr>
      <w:r>
        <w:rPr>
          <w:sz w:val="22"/>
        </w:rPr>
        <w:t>Quantidade/Tipo de Enlaces digitais por rota.</w:t>
      </w:r>
    </w:p>
    <w:p w:rsidR="00CA6653" w:rsidRDefault="00CA6653">
      <w:pPr>
        <w:pStyle w:val="Anexos"/>
        <w:numPr>
          <w:ilvl w:val="0"/>
          <w:numId w:val="2"/>
        </w:numPr>
        <w:tabs>
          <w:tab w:val="clear" w:pos="360"/>
          <w:tab w:val="left" w:pos="1134"/>
        </w:tabs>
        <w:suppressAutoHyphens/>
        <w:spacing w:before="120"/>
        <w:ind w:left="1134" w:hanging="567"/>
        <w:rPr>
          <w:sz w:val="22"/>
        </w:rPr>
      </w:pPr>
      <w:r>
        <w:rPr>
          <w:sz w:val="22"/>
        </w:rPr>
        <w:t>Tipo de Sinalização e respectivos códigos/Quantidade de Terminais de sinalização, quando aplicável.</w:t>
      </w:r>
    </w:p>
    <w:p w:rsidR="00CA6653" w:rsidRDefault="00CA6653">
      <w:pPr>
        <w:pStyle w:val="Anexos"/>
        <w:numPr>
          <w:ilvl w:val="0"/>
          <w:numId w:val="2"/>
        </w:numPr>
        <w:tabs>
          <w:tab w:val="clear" w:pos="360"/>
          <w:tab w:val="left" w:pos="1134"/>
        </w:tabs>
        <w:suppressAutoHyphens/>
        <w:spacing w:before="120"/>
        <w:ind w:left="1134" w:hanging="567"/>
        <w:rPr>
          <w:sz w:val="22"/>
        </w:rPr>
      </w:pPr>
      <w:r>
        <w:rPr>
          <w:sz w:val="22"/>
        </w:rPr>
        <w:t>Plano de Encaminhamento e informações sobre os códigos a serem enviados através de cada Ponto de Interconexão.</w:t>
      </w:r>
    </w:p>
    <w:p w:rsidR="00CA6653" w:rsidRDefault="00CA6653">
      <w:pPr>
        <w:pStyle w:val="Anexos"/>
        <w:numPr>
          <w:ilvl w:val="0"/>
          <w:numId w:val="2"/>
        </w:numPr>
        <w:tabs>
          <w:tab w:val="clear" w:pos="360"/>
          <w:tab w:val="left" w:pos="1134"/>
        </w:tabs>
        <w:suppressAutoHyphens/>
        <w:spacing w:before="120"/>
        <w:ind w:left="1134" w:hanging="567"/>
        <w:rPr>
          <w:sz w:val="22"/>
        </w:rPr>
      </w:pPr>
      <w:r>
        <w:rPr>
          <w:sz w:val="22"/>
        </w:rPr>
        <w:t>Prazo para tornar disponíveis as facilidades.</w:t>
      </w:r>
    </w:p>
    <w:p w:rsidR="00CA6653" w:rsidRDefault="00CA6653">
      <w:pPr>
        <w:pStyle w:val="Anexos"/>
        <w:numPr>
          <w:ilvl w:val="0"/>
          <w:numId w:val="2"/>
        </w:numPr>
        <w:tabs>
          <w:tab w:val="clear" w:pos="360"/>
          <w:tab w:val="left" w:pos="1134"/>
        </w:tabs>
        <w:suppressAutoHyphens/>
        <w:spacing w:before="120"/>
        <w:ind w:left="1134" w:hanging="567"/>
        <w:rPr>
          <w:sz w:val="22"/>
        </w:rPr>
      </w:pPr>
      <w:r>
        <w:rPr>
          <w:sz w:val="22"/>
        </w:rPr>
        <w:t>Plano de Numeração.</w:t>
      </w:r>
    </w:p>
    <w:p w:rsidR="00CA6653" w:rsidRDefault="00CA6653">
      <w:pPr>
        <w:pStyle w:val="Anexos"/>
        <w:numPr>
          <w:ilvl w:val="0"/>
          <w:numId w:val="2"/>
        </w:numPr>
        <w:tabs>
          <w:tab w:val="clear" w:pos="360"/>
          <w:tab w:val="left" w:pos="1134"/>
        </w:tabs>
        <w:suppressAutoHyphens/>
        <w:spacing w:before="120"/>
        <w:ind w:left="1134" w:hanging="567"/>
        <w:rPr>
          <w:sz w:val="22"/>
        </w:rPr>
      </w:pPr>
      <w:r>
        <w:rPr>
          <w:sz w:val="22"/>
        </w:rPr>
        <w:t>Características de Sincronismo.</w:t>
      </w:r>
    </w:p>
    <w:p w:rsidR="00CA6653" w:rsidRDefault="00CA6653">
      <w:pPr>
        <w:pStyle w:val="Anexos"/>
        <w:numPr>
          <w:ilvl w:val="0"/>
          <w:numId w:val="2"/>
        </w:numPr>
        <w:tabs>
          <w:tab w:val="clear" w:pos="360"/>
          <w:tab w:val="left" w:pos="1134"/>
        </w:tabs>
        <w:suppressAutoHyphens/>
        <w:spacing w:before="120"/>
        <w:ind w:left="1134" w:hanging="567"/>
        <w:rPr>
          <w:sz w:val="22"/>
        </w:rPr>
      </w:pPr>
      <w:r>
        <w:rPr>
          <w:sz w:val="22"/>
        </w:rPr>
        <w:t>Necessidades de Bilhetagem.</w:t>
      </w:r>
    </w:p>
    <w:p w:rsidR="00CA6653" w:rsidRDefault="00CA6653">
      <w:pPr>
        <w:pStyle w:val="Anexos"/>
        <w:numPr>
          <w:ilvl w:val="0"/>
          <w:numId w:val="2"/>
        </w:numPr>
        <w:tabs>
          <w:tab w:val="clear" w:pos="360"/>
          <w:tab w:val="left" w:pos="1134"/>
        </w:tabs>
        <w:suppressAutoHyphens/>
        <w:spacing w:before="120"/>
        <w:ind w:left="1134" w:hanging="567"/>
        <w:rPr>
          <w:sz w:val="22"/>
        </w:rPr>
      </w:pPr>
      <w:r>
        <w:rPr>
          <w:sz w:val="22"/>
        </w:rPr>
        <w:t>Planos de Contingência e Segurança de Interconexão.</w:t>
      </w:r>
    </w:p>
    <w:p w:rsidR="00CA6653" w:rsidRDefault="00CA6653">
      <w:pPr>
        <w:pStyle w:val="Ttulo2"/>
        <w:numPr>
          <w:ilvl w:val="0"/>
          <w:numId w:val="0"/>
        </w:numPr>
      </w:pPr>
      <w:r>
        <w:t xml:space="preserve"> </w:t>
      </w:r>
    </w:p>
    <w:sectPr w:rsidR="00CA6653">
      <w:pgSz w:w="11907" w:h="16840" w:code="9"/>
      <w:pgMar w:top="822" w:right="851" w:bottom="1247" w:left="1134" w:header="680" w:footer="794" w:gutter="0"/>
      <w:paperSrc w:first="7" w:other="7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64CB" w:rsidRDefault="009F64CB">
      <w:r>
        <w:separator/>
      </w:r>
    </w:p>
  </w:endnote>
  <w:endnote w:type="continuationSeparator" w:id="0">
    <w:p w:rsidR="009F64CB" w:rsidRDefault="009F64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7E5" w:rsidRDefault="007977E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A6653" w:rsidRDefault="0029529B" w:rsidP="0029529B">
    <w:pPr>
      <w:pStyle w:val="Rodap"/>
      <w:tabs>
        <w:tab w:val="right" w:pos="9498"/>
      </w:tabs>
      <w:jc w:val="center"/>
    </w:pPr>
    <w:r w:rsidRPr="00B84645">
      <w:t xml:space="preserve">Página </w:t>
    </w:r>
    <w:r w:rsidRPr="00B84645">
      <w:fldChar w:fldCharType="begin"/>
    </w:r>
    <w:r w:rsidRPr="00B84645">
      <w:instrText xml:space="preserve"> PAGE </w:instrText>
    </w:r>
    <w:r w:rsidRPr="00B84645">
      <w:fldChar w:fldCharType="separate"/>
    </w:r>
    <w:r w:rsidR="00BE0C62">
      <w:rPr>
        <w:noProof/>
      </w:rPr>
      <w:t>1</w:t>
    </w:r>
    <w:r w:rsidRPr="00B84645">
      <w:fldChar w:fldCharType="end"/>
    </w:r>
    <w:r w:rsidRPr="00B84645">
      <w:t xml:space="preserve"> de </w:t>
    </w:r>
    <w:r w:rsidR="009F64CB">
      <w:fldChar w:fldCharType="begin"/>
    </w:r>
    <w:r w:rsidR="009F64CB">
      <w:instrText xml:space="preserve"> NUMPAGES </w:instrText>
    </w:r>
    <w:r w:rsidR="009F64CB">
      <w:fldChar w:fldCharType="separate"/>
    </w:r>
    <w:r w:rsidR="00BE0C62">
      <w:rPr>
        <w:noProof/>
      </w:rPr>
      <w:t>3</w:t>
    </w:r>
    <w:r w:rsidR="009F64CB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7E5" w:rsidRDefault="007977E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64CB" w:rsidRDefault="009F64CB">
      <w:r>
        <w:separator/>
      </w:r>
    </w:p>
  </w:footnote>
  <w:footnote w:type="continuationSeparator" w:id="0">
    <w:p w:rsidR="009F64CB" w:rsidRDefault="009F64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7E5" w:rsidRDefault="007977E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29B" w:rsidRPr="007977E5" w:rsidRDefault="0029529B" w:rsidP="0029529B">
    <w:pPr>
      <w:pStyle w:val="Cabealho"/>
      <w:widowControl/>
      <w:pBdr>
        <w:bottom w:val="single" w:sz="4" w:space="1" w:color="auto"/>
      </w:pBdr>
      <w:tabs>
        <w:tab w:val="clear" w:pos="4320"/>
        <w:tab w:val="clear" w:pos="8640"/>
        <w:tab w:val="center" w:pos="4419"/>
        <w:tab w:val="right" w:pos="8838"/>
      </w:tabs>
      <w:jc w:val="center"/>
      <w:rPr>
        <w:rFonts w:ascii="Arial" w:hAnsi="Arial"/>
        <w:snapToGrid/>
        <w:sz w:val="18"/>
        <w:lang w:val="pt-BR"/>
      </w:rPr>
    </w:pPr>
    <w:r w:rsidRPr="007977E5">
      <w:rPr>
        <w:rFonts w:ascii="Arial" w:hAnsi="Arial"/>
        <w:snapToGrid/>
        <w:sz w:val="18"/>
        <w:lang w:val="pt-BR"/>
      </w:rPr>
      <w:t xml:space="preserve">ANEXO 4 ao Contrato de Interconexão </w:t>
    </w:r>
    <w:r w:rsidR="007977E5" w:rsidRPr="007977E5">
      <w:rPr>
        <w:rFonts w:ascii="Arial" w:hAnsi="Arial"/>
        <w:snapToGrid/>
        <w:sz w:val="18"/>
        <w:lang w:val="pt-BR"/>
      </w:rPr>
      <w:t>Rede Fixa</w:t>
    </w:r>
  </w:p>
  <w:p w:rsidR="00CA6653" w:rsidRDefault="00CA6653">
    <w:pPr>
      <w:pStyle w:val="Cabealho"/>
      <w:jc w:val="both"/>
      <w:rPr>
        <w:lang w:val="pt-BR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77E5" w:rsidRDefault="007977E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D124E4"/>
    <w:multiLevelType w:val="multilevel"/>
    <w:tmpl w:val="A746D862"/>
    <w:lvl w:ilvl="0">
      <w:start w:val="1"/>
      <w:numFmt w:val="decimal"/>
      <w:pStyle w:val="Ttulo1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4"/>
      <w:numFmt w:val="decimal"/>
      <w:pStyle w:val="Ttulo2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u w:val="none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1276"/>
        </w:tabs>
        <w:ind w:left="1276" w:hanging="709"/>
      </w:pPr>
      <w:rPr>
        <w:rFonts w:ascii="Arial" w:hAnsi="Arial" w:hint="default"/>
        <w:b w:val="0"/>
        <w:i w:val="0"/>
        <w:vanish w:val="0"/>
        <w:color w:val="auto"/>
        <w:sz w:val="22"/>
      </w:rPr>
    </w:lvl>
    <w:lvl w:ilvl="3">
      <w:start w:val="1"/>
      <w:numFmt w:val="decimal"/>
      <w:pStyle w:val="Ttulo4"/>
      <w:lvlText w:val="%1.%2.%3.%4."/>
      <w:lvlJc w:val="left"/>
      <w:pPr>
        <w:tabs>
          <w:tab w:val="num" w:pos="2268"/>
        </w:tabs>
        <w:ind w:left="2268" w:hanging="99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pStyle w:val="Ttulo5"/>
      <w:lvlText w:val="%1.%2.%3.%4.%5."/>
      <w:lvlJc w:val="left"/>
      <w:pPr>
        <w:tabs>
          <w:tab w:val="num" w:pos="3686"/>
        </w:tabs>
        <w:ind w:left="3686" w:hanging="1418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5">
      <w:start w:val="1"/>
      <w:numFmt w:val="decimal"/>
      <w:pStyle w:val="Ttulo6"/>
      <w:lvlText w:val="%1.%2.%3.%4.%5.%6."/>
      <w:lvlJc w:val="left"/>
      <w:pPr>
        <w:tabs>
          <w:tab w:val="num" w:pos="0"/>
        </w:tabs>
        <w:ind w:left="3258" w:hanging="708"/>
      </w:pPr>
      <w:rPr>
        <w:rFonts w:hint="default"/>
      </w:rPr>
    </w:lvl>
    <w:lvl w:ilvl="6">
      <w:start w:val="1"/>
      <w:numFmt w:val="decimal"/>
      <w:pStyle w:val="Ttulo7"/>
      <w:lvlText w:val="%1.%2.%3.%4.%5.%6.%7."/>
      <w:lvlJc w:val="left"/>
      <w:pPr>
        <w:tabs>
          <w:tab w:val="num" w:pos="0"/>
        </w:tabs>
        <w:ind w:left="3966" w:hanging="708"/>
      </w:pPr>
      <w:rPr>
        <w:rFonts w:hint="default"/>
      </w:rPr>
    </w:lvl>
    <w:lvl w:ilvl="7">
      <w:start w:val="1"/>
      <w:numFmt w:val="decimal"/>
      <w:pStyle w:val="Ttulo8"/>
      <w:lvlText w:val="%1.%2.%3.%4.%5.%6.%7.%8."/>
      <w:lvlJc w:val="left"/>
      <w:pPr>
        <w:tabs>
          <w:tab w:val="num" w:pos="0"/>
        </w:tabs>
        <w:ind w:left="4674" w:hanging="708"/>
      </w:pPr>
      <w:rPr>
        <w:rFonts w:hint="default"/>
      </w:rPr>
    </w:lvl>
    <w:lvl w:ilvl="8">
      <w:start w:val="1"/>
      <w:numFmt w:val="decimal"/>
      <w:pStyle w:val="Ttulo9"/>
      <w:lvlText w:val="%1.%2.%3.%4.%5.%6.%7.%8.%9."/>
      <w:lvlJc w:val="left"/>
      <w:pPr>
        <w:tabs>
          <w:tab w:val="num" w:pos="0"/>
        </w:tabs>
        <w:ind w:left="5382" w:hanging="708"/>
      </w:pPr>
      <w:rPr>
        <w:rFonts w:hint="default"/>
      </w:rPr>
    </w:lvl>
  </w:abstractNum>
  <w:abstractNum w:abstractNumId="1" w15:restartNumberingAfterBreak="0">
    <w:nsid w:val="148D174E"/>
    <w:multiLevelType w:val="singleLevel"/>
    <w:tmpl w:val="73BECE5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155D441B"/>
    <w:multiLevelType w:val="multilevel"/>
    <w:tmpl w:val="4CCED50C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1276" w:hanging="709"/>
      </w:pPr>
      <w:rPr>
        <w:rFonts w:ascii="Arial" w:hAnsi="Arial" w:hint="default"/>
        <w:b w:val="0"/>
        <w:i w:val="0"/>
        <w:vanish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9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418"/>
      </w:pPr>
      <w:rPr>
        <w:rFonts w:ascii="Arial" w:hAnsi="Arial" w:hint="default"/>
        <w:b w:val="0"/>
        <w:i w:val="0"/>
        <w:sz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7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82" w:hanging="708"/>
      </w:pPr>
    </w:lvl>
  </w:abstractNum>
  <w:abstractNum w:abstractNumId="3" w15:restartNumberingAfterBreak="0">
    <w:nsid w:val="240D420E"/>
    <w:multiLevelType w:val="multilevel"/>
    <w:tmpl w:val="A4FCEBF8"/>
    <w:lvl w:ilvl="0">
      <w:start w:val="3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1276" w:hanging="709"/>
      </w:pPr>
      <w:rPr>
        <w:rFonts w:ascii="Arial" w:hAnsi="Arial" w:hint="default"/>
        <w:b w:val="0"/>
        <w:i w:val="0"/>
        <w:vanish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9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418"/>
      </w:pPr>
      <w:rPr>
        <w:rFonts w:ascii="Arial" w:hAnsi="Arial" w:hint="default"/>
        <w:b w:val="0"/>
        <w:i w:val="0"/>
        <w:sz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7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82" w:hanging="708"/>
      </w:pPr>
    </w:lvl>
  </w:abstractNum>
  <w:abstractNum w:abstractNumId="4" w15:restartNumberingAfterBreak="0">
    <w:nsid w:val="36175C06"/>
    <w:multiLevelType w:val="multilevel"/>
    <w:tmpl w:val="917A6814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000000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1276" w:hanging="709"/>
      </w:pPr>
      <w:rPr>
        <w:rFonts w:ascii="Arial" w:hAnsi="Arial" w:hint="default"/>
        <w:b w:val="0"/>
        <w:i w:val="0"/>
        <w:strike w:val="0"/>
        <w:dstrike w:val="0"/>
        <w:vanish w:val="0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9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418"/>
      </w:pPr>
      <w:rPr>
        <w:rFonts w:ascii="Arial" w:hAnsi="Arial" w:hint="default"/>
        <w:b w:val="0"/>
        <w:i w:val="0"/>
        <w:sz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7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82" w:hanging="708"/>
      </w:pPr>
    </w:lvl>
  </w:abstractNum>
  <w:abstractNum w:abstractNumId="5" w15:restartNumberingAfterBreak="0">
    <w:nsid w:val="4C883EE3"/>
    <w:multiLevelType w:val="multilevel"/>
    <w:tmpl w:val="49209F2E"/>
    <w:lvl w:ilvl="0">
      <w:start w:val="2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caps/>
        <w:strike w:val="0"/>
        <w:dstrike w:val="0"/>
        <w:vanish w:val="0"/>
        <w:color w:val="auto"/>
        <w:sz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trike w:val="0"/>
        <w:dstrike w:val="0"/>
        <w:color w:val="auto"/>
        <w:sz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1276"/>
        </w:tabs>
        <w:ind w:left="1276" w:hanging="709"/>
      </w:pPr>
      <w:rPr>
        <w:rFonts w:ascii="Arial" w:hAnsi="Arial" w:hint="default"/>
        <w:b w:val="0"/>
        <w:i w:val="0"/>
        <w:vanish w:val="0"/>
        <w:color w:val="auto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2268"/>
        </w:tabs>
        <w:ind w:left="2268" w:hanging="992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%1.%2.%3.%4.%5."/>
      <w:lvlJc w:val="left"/>
      <w:pPr>
        <w:tabs>
          <w:tab w:val="num" w:pos="3686"/>
        </w:tabs>
        <w:ind w:left="3686" w:hanging="1418"/>
      </w:pPr>
      <w:rPr>
        <w:rFonts w:ascii="Arial" w:hAnsi="Arial" w:hint="default"/>
        <w:b w:val="0"/>
        <w:i w:val="0"/>
        <w:color w:val="auto"/>
        <w:sz w:val="22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258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96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67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382" w:hanging="708"/>
      </w:pPr>
      <w:rPr>
        <w:rFonts w:hint="default"/>
      </w:rPr>
    </w:lvl>
  </w:abstractNum>
  <w:abstractNum w:abstractNumId="6" w15:restartNumberingAfterBreak="0">
    <w:nsid w:val="6EAF0A89"/>
    <w:multiLevelType w:val="singleLevel"/>
    <w:tmpl w:val="241252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aps w:val="0"/>
        <w:strike w:val="0"/>
        <w:dstrike w:val="0"/>
        <w:vanish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1CE"/>
    <w:rsid w:val="00026F97"/>
    <w:rsid w:val="00277C3F"/>
    <w:rsid w:val="0029529B"/>
    <w:rsid w:val="0033031E"/>
    <w:rsid w:val="003B3454"/>
    <w:rsid w:val="00403D88"/>
    <w:rsid w:val="005A42CB"/>
    <w:rsid w:val="00650A2E"/>
    <w:rsid w:val="00672E36"/>
    <w:rsid w:val="00762A0A"/>
    <w:rsid w:val="007977E5"/>
    <w:rsid w:val="007F3E91"/>
    <w:rsid w:val="009D1BCB"/>
    <w:rsid w:val="009D5146"/>
    <w:rsid w:val="009F64CB"/>
    <w:rsid w:val="00BE0C62"/>
    <w:rsid w:val="00C261CE"/>
    <w:rsid w:val="00C614B2"/>
    <w:rsid w:val="00CA6653"/>
    <w:rsid w:val="00CC48AF"/>
    <w:rsid w:val="00E6172E"/>
    <w:rsid w:val="00EE6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2CAC19D-C026-4BF3-8C96-8629AB8E1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Arial" w:hAnsi="Arial"/>
      <w:sz w:val="22"/>
    </w:rPr>
  </w:style>
  <w:style w:type="paragraph" w:styleId="Ttulo1">
    <w:name w:val="heading 1"/>
    <w:basedOn w:val="Normal"/>
    <w:next w:val="Normal"/>
    <w:qFormat/>
    <w:pPr>
      <w:keepLines/>
      <w:numPr>
        <w:numId w:val="7"/>
      </w:numPr>
      <w:suppressAutoHyphens/>
      <w:spacing w:before="80" w:after="80"/>
      <w:jc w:val="both"/>
      <w:outlineLvl w:val="0"/>
    </w:pPr>
    <w:rPr>
      <w:b/>
      <w:caps/>
      <w:kern w:val="28"/>
    </w:rPr>
  </w:style>
  <w:style w:type="paragraph" w:styleId="Ttulo2">
    <w:name w:val="heading 2"/>
    <w:basedOn w:val="Normal"/>
    <w:next w:val="Normal"/>
    <w:qFormat/>
    <w:pPr>
      <w:keepLines/>
      <w:numPr>
        <w:ilvl w:val="1"/>
        <w:numId w:val="7"/>
      </w:numPr>
      <w:suppressAutoHyphens/>
      <w:spacing w:before="80" w:after="80"/>
      <w:jc w:val="both"/>
      <w:outlineLvl w:val="1"/>
    </w:pPr>
  </w:style>
  <w:style w:type="paragraph" w:styleId="Ttulo3">
    <w:name w:val="heading 3"/>
    <w:basedOn w:val="Normal"/>
    <w:next w:val="Normal"/>
    <w:qFormat/>
    <w:pPr>
      <w:keepLines/>
      <w:numPr>
        <w:ilvl w:val="2"/>
        <w:numId w:val="7"/>
      </w:numPr>
      <w:suppressAutoHyphens/>
      <w:spacing w:before="80" w:after="80"/>
      <w:jc w:val="both"/>
      <w:outlineLvl w:val="2"/>
    </w:pPr>
  </w:style>
  <w:style w:type="paragraph" w:styleId="Ttulo4">
    <w:name w:val="heading 4"/>
    <w:basedOn w:val="Normal"/>
    <w:next w:val="Normal"/>
    <w:qFormat/>
    <w:pPr>
      <w:keepLines/>
      <w:numPr>
        <w:ilvl w:val="3"/>
        <w:numId w:val="7"/>
      </w:numPr>
      <w:suppressAutoHyphens/>
      <w:spacing w:before="80" w:after="80"/>
      <w:jc w:val="both"/>
      <w:outlineLvl w:val="3"/>
    </w:pPr>
    <w:rPr>
      <w:snapToGrid w:val="0"/>
    </w:rPr>
  </w:style>
  <w:style w:type="paragraph" w:styleId="Ttulo5">
    <w:name w:val="heading 5"/>
    <w:basedOn w:val="Normal"/>
    <w:next w:val="Normal"/>
    <w:qFormat/>
    <w:pPr>
      <w:keepLines/>
      <w:numPr>
        <w:ilvl w:val="4"/>
        <w:numId w:val="7"/>
      </w:numPr>
      <w:suppressAutoHyphens/>
      <w:spacing w:before="80" w:after="80"/>
      <w:outlineLvl w:val="4"/>
    </w:pPr>
    <w:rPr>
      <w:b/>
      <w:sz w:val="20"/>
    </w:rPr>
  </w:style>
  <w:style w:type="paragraph" w:styleId="Ttulo6">
    <w:name w:val="heading 6"/>
    <w:basedOn w:val="Normal"/>
    <w:next w:val="Normal"/>
    <w:qFormat/>
    <w:pPr>
      <w:keepNext/>
      <w:numPr>
        <w:ilvl w:val="5"/>
        <w:numId w:val="7"/>
      </w:numPr>
      <w:jc w:val="center"/>
      <w:outlineLvl w:val="5"/>
    </w:pPr>
    <w:rPr>
      <w:b/>
    </w:rPr>
  </w:style>
  <w:style w:type="paragraph" w:styleId="Ttulo7">
    <w:name w:val="heading 7"/>
    <w:basedOn w:val="Normal"/>
    <w:next w:val="Normal"/>
    <w:qFormat/>
    <w:pPr>
      <w:keepNext/>
      <w:numPr>
        <w:ilvl w:val="6"/>
        <w:numId w:val="7"/>
      </w:numPr>
      <w:jc w:val="center"/>
      <w:outlineLvl w:val="6"/>
    </w:pPr>
    <w:rPr>
      <w:i/>
      <w:sz w:val="20"/>
    </w:rPr>
  </w:style>
  <w:style w:type="paragraph" w:styleId="Ttulo8">
    <w:name w:val="heading 8"/>
    <w:basedOn w:val="Normal"/>
    <w:next w:val="Normal"/>
    <w:qFormat/>
    <w:pPr>
      <w:keepNext/>
      <w:widowControl w:val="0"/>
      <w:numPr>
        <w:ilvl w:val="7"/>
        <w:numId w:val="7"/>
      </w:numPr>
      <w:jc w:val="center"/>
      <w:outlineLvl w:val="7"/>
    </w:pPr>
    <w:rPr>
      <w:b/>
      <w:snapToGrid w:val="0"/>
      <w:color w:val="FF0000"/>
    </w:rPr>
  </w:style>
  <w:style w:type="paragraph" w:styleId="Ttulo9">
    <w:name w:val="heading 9"/>
    <w:basedOn w:val="Normal"/>
    <w:next w:val="Normal"/>
    <w:qFormat/>
    <w:pPr>
      <w:numPr>
        <w:ilvl w:val="8"/>
        <w:numId w:val="7"/>
      </w:numPr>
      <w:spacing w:before="240" w:after="60"/>
      <w:outlineLvl w:val="8"/>
    </w:pPr>
    <w:rPr>
      <w:b/>
      <w:i/>
      <w:sz w:val="1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pPr>
      <w:pBdr>
        <w:top w:val="single" w:sz="4" w:space="1" w:color="auto"/>
      </w:pBdr>
      <w:tabs>
        <w:tab w:val="center" w:pos="4820"/>
        <w:tab w:val="right" w:pos="9356"/>
      </w:tabs>
      <w:jc w:val="both"/>
    </w:pPr>
    <w:rPr>
      <w:sz w:val="18"/>
    </w:rPr>
  </w:style>
  <w:style w:type="paragraph" w:customStyle="1" w:styleId="Anexos1">
    <w:name w:val="Anexos1"/>
    <w:basedOn w:val="Anexos"/>
    <w:pPr>
      <w:spacing w:line="360" w:lineRule="auto"/>
      <w:jc w:val="center"/>
    </w:pPr>
    <w:rPr>
      <w:b/>
      <w:sz w:val="28"/>
    </w:rPr>
  </w:style>
  <w:style w:type="paragraph" w:customStyle="1" w:styleId="Anexos">
    <w:name w:val="Anexos"/>
    <w:basedOn w:val="Normal"/>
    <w:pPr>
      <w:widowControl w:val="0"/>
      <w:jc w:val="both"/>
    </w:pPr>
    <w:rPr>
      <w:snapToGrid w:val="0"/>
      <w:sz w:val="24"/>
    </w:rPr>
  </w:style>
  <w:style w:type="paragraph" w:customStyle="1" w:styleId="BodyText23">
    <w:name w:val="Body Text 23"/>
    <w:basedOn w:val="Normal"/>
    <w:pPr>
      <w:ind w:left="4320"/>
      <w:jc w:val="both"/>
    </w:pPr>
    <w:rPr>
      <w:snapToGrid w:val="0"/>
      <w:sz w:val="24"/>
    </w:rPr>
  </w:style>
  <w:style w:type="paragraph" w:styleId="Cabealho">
    <w:name w:val="header"/>
    <w:basedOn w:val="Normal"/>
    <w:pPr>
      <w:widowControl w:val="0"/>
      <w:tabs>
        <w:tab w:val="center" w:pos="4320"/>
        <w:tab w:val="right" w:pos="8640"/>
      </w:tabs>
    </w:pPr>
    <w:rPr>
      <w:rFonts w:ascii="Book Antiqua" w:hAnsi="Book Antiqua"/>
      <w:snapToGrid w:val="0"/>
      <w:sz w:val="24"/>
      <w:lang w:val="en-US"/>
    </w:rPr>
  </w:style>
  <w:style w:type="character" w:styleId="Nmerodepgina">
    <w:name w:val="page number"/>
    <w:basedOn w:val="Fontepargpadro"/>
  </w:style>
  <w:style w:type="paragraph" w:styleId="Corpodetexto">
    <w:name w:val="Body Text"/>
    <w:basedOn w:val="Normal"/>
    <w:pPr>
      <w:jc w:val="center"/>
    </w:pPr>
    <w:rPr>
      <w:b/>
    </w:rPr>
  </w:style>
  <w:style w:type="paragraph" w:styleId="Corpodetexto2">
    <w:name w:val="Body Text 2"/>
    <w:basedOn w:val="Normal"/>
    <w:pPr>
      <w:jc w:val="center"/>
    </w:pPr>
    <w:rPr>
      <w:b/>
      <w:sz w:val="20"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1004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ao Contrato de Interconexão</vt:lpstr>
    </vt:vector>
  </TitlesOfParts>
  <Company>Oi</Company>
  <LinksUpToDate>false</LinksUpToDate>
  <CharactersWithSpaces>6414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ao Contrato de Interconexão</dc:title>
  <dc:creator>profile</dc:creator>
  <cp:lastModifiedBy>Carolina Esteves</cp:lastModifiedBy>
  <cp:revision>10</cp:revision>
  <cp:lastPrinted>2021-10-04T21:55:00Z</cp:lastPrinted>
  <dcterms:created xsi:type="dcterms:W3CDTF">2018-09-21T17:48:00Z</dcterms:created>
  <dcterms:modified xsi:type="dcterms:W3CDTF">2021-10-04T21:55:00Z</dcterms:modified>
</cp:coreProperties>
</file>